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4DAC" w14:textId="77777777" w:rsidR="00834589" w:rsidRDefault="0083458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0C6093EB" w14:textId="7615610E" w:rsidR="00A53009" w:rsidRPr="00917FD6" w:rsidRDefault="00A5300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INSTITUTO NACIONAL DE SEGUROS</w:t>
      </w:r>
    </w:p>
    <w:p w14:paraId="70175883" w14:textId="77777777" w:rsidR="00A53009" w:rsidRPr="00917FD6" w:rsidRDefault="00A5300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DEPARTAMENTO DE PROVEEDURÍA</w:t>
      </w:r>
    </w:p>
    <w:p w14:paraId="2769644C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1139840A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ANEXO #3 </w:t>
      </w:r>
    </w:p>
    <w:p w14:paraId="3A74A1A1" w14:textId="77777777" w:rsidR="00E44611" w:rsidRDefault="00E44611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62943B1C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“</w:t>
      </w:r>
      <w:bookmarkStart w:id="0" w:name="_Hlk108787952"/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Condiciones para la recepción de las muestras y literatura técnica, atención de consultas, concurso en trámite y notas</w:t>
      </w:r>
      <w:bookmarkEnd w:id="0"/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”</w:t>
      </w:r>
    </w:p>
    <w:p w14:paraId="76225D8C" w14:textId="34E2A12F" w:rsidR="00834589" w:rsidRDefault="0083458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01DAC7C2" w14:textId="7FAF0A48" w:rsidR="00834589" w:rsidRDefault="000B22FB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VALORACIÓN PREVIA DE PRODUCTOS</w:t>
      </w:r>
      <w:r w:rsidRPr="0027024A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N°</w:t>
      </w: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4</w:t>
      </w:r>
      <w:r w:rsidRPr="0027024A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-2022 </w:t>
      </w:r>
      <w:r w:rsidR="00781A21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Medicamentos </w:t>
      </w:r>
    </w:p>
    <w:p w14:paraId="792A7BDE" w14:textId="77777777" w:rsidR="00781A21" w:rsidRDefault="00781A21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2A324FE7" w14:textId="77777777" w:rsidR="000B22FB" w:rsidRPr="00917FD6" w:rsidRDefault="000B22FB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(</w:t>
      </w: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Segundo</w:t>
      </w: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llamado)</w:t>
      </w:r>
    </w:p>
    <w:p w14:paraId="5DD24C1B" w14:textId="18DDC112" w:rsidR="00CB4519" w:rsidRDefault="00CB4519" w:rsidP="00CB451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0E4482A5" w14:textId="77777777" w:rsidR="00E44611" w:rsidRPr="00CB4519" w:rsidRDefault="00E44611" w:rsidP="00CB451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1F68B509" w14:textId="77777777" w:rsidR="00A53009" w:rsidRPr="00CB3CD8" w:rsidRDefault="00A53009" w:rsidP="00A53009">
      <w:pPr>
        <w:numPr>
          <w:ilvl w:val="0"/>
          <w:numId w:val="1"/>
        </w:numPr>
        <w:autoSpaceDE w:val="0"/>
        <w:autoSpaceDN w:val="0"/>
        <w:adjustRightInd w:val="0"/>
        <w:ind w:left="360" w:hanging="360"/>
        <w:jc w:val="both"/>
        <w:rPr>
          <w:rFonts w:ascii="Arial" w:eastAsia="Calibri" w:hAnsi="Arial" w:cs="Arial"/>
          <w:b/>
          <w:bCs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b/>
          <w:bCs/>
          <w:color w:val="000000"/>
          <w:szCs w:val="24"/>
          <w:lang w:val="es-CR"/>
        </w:rPr>
        <w:t>Condiciones para recepción de muestras y literatura técnica:</w:t>
      </w:r>
    </w:p>
    <w:p w14:paraId="0EF5D95D" w14:textId="52D19665" w:rsidR="00A53009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b/>
          <w:bCs/>
          <w:color w:val="000000"/>
          <w:szCs w:val="24"/>
          <w:lang w:val="es-CR"/>
        </w:rPr>
      </w:pPr>
    </w:p>
    <w:p w14:paraId="0F54CB7F" w14:textId="031DF256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Tanto las muestras como la literatura técnica deberán entregarse en las instalaciones del Centro de Distribución y Logística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del INS, ubicado en el Coyol de Alajuela, Green Park, Autopista Bernardo Soto 1.3km al oeste del Hotel Aeropuerto,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edificio #8, para la recepción de muestras se indica que, únicamente serán recibidas previa cita con la unidad técnica, la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cual deberá ser solicitada con un mínimo de dos días previos a la fecha de interés, es importante considerar lo indicado en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el anexo (Medidas Implementadas ante la Pandemia del COVID-19), para lo cual deberán solicitar la cita correspondiente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con el funcionario </w:t>
      </w:r>
      <w:proofErr w:type="spellStart"/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Jiuver</w:t>
      </w:r>
      <w:proofErr w:type="spellEnd"/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Alfaro (jalfaroc@grupoins.com), localizable al teléfono 2287-6000 extensión 8207.</w:t>
      </w:r>
    </w:p>
    <w:p w14:paraId="2EE682BE" w14:textId="77777777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4572189A" w14:textId="69646CF7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Por la logística que requiere la actividad y capacidad instalada de la unidad técnica, la Administración se reserva el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derecho de no asignar citas que sean solicitadas fuera del rango previsto.</w:t>
      </w:r>
    </w:p>
    <w:p w14:paraId="4CB52050" w14:textId="77777777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1C5E5B55" w14:textId="10FB8930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Para cada producto indicado en el listado anterior se deberán aportar las muestras que se señalan, las cuales deberán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ser idénticas al producto que entregará el proponente en caso de ser adjudicado en futuros procesos de compra y debe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estar debidamente rotulada con el nombre del proponente, número y nombre del renglón para el cual somete a valoración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la muestra.</w:t>
      </w:r>
    </w:p>
    <w:p w14:paraId="292F81CA" w14:textId="77777777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5C935028" w14:textId="40CF1A8F" w:rsidR="009238A9" w:rsidRPr="009238A9" w:rsidRDefault="009238A9" w:rsidP="009238A9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Adicionalmente, deberá aportar junto con</w:t>
      </w:r>
      <w:r w:rsidR="00DD4F9A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cada muestra, la documentación técnica que se detalla en documento adjunto, así como el</w:t>
      </w:r>
      <w:r w:rsidR="00DD4F9A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formulario respectivo.</w:t>
      </w:r>
    </w:p>
    <w:p w14:paraId="636C0041" w14:textId="41529EDF" w:rsidR="009238A9" w:rsidRPr="009238A9" w:rsidRDefault="009238A9" w:rsidP="00A53009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2E864905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b/>
          <w:color w:val="000000"/>
          <w:szCs w:val="24"/>
          <w:lang w:val="es-CR"/>
        </w:rPr>
        <w:t>Deberá considerar que será requisito para participar en el proceso respectivo, encontrarse inscrito como proveedor en SICOP, lo cual deberá manifestar en su propuesta.</w:t>
      </w:r>
      <w:r w:rsidRPr="00CB3CD8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</w:p>
    <w:p w14:paraId="70AC1955" w14:textId="6BC9DB99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39FA7E22" w14:textId="59C5BA70" w:rsidR="00E44611" w:rsidRDefault="00E44611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118E3D99" w14:textId="77777777" w:rsidR="00E44611" w:rsidRDefault="00E44611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20820058" w14:textId="77777777" w:rsidR="00CB4519" w:rsidRPr="00CB3CD8" w:rsidRDefault="00CB451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716B489D" w14:textId="77777777" w:rsidR="00A53009" w:rsidRPr="00CB3CD8" w:rsidRDefault="00A53009" w:rsidP="00A5300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CB3CD8">
        <w:rPr>
          <w:rFonts w:ascii="Arial" w:hAnsi="Arial" w:cs="Arial"/>
          <w:b/>
          <w:szCs w:val="24"/>
        </w:rPr>
        <w:t xml:space="preserve">Atención de consultas u objeciones sobre los productos: </w:t>
      </w:r>
    </w:p>
    <w:p w14:paraId="3BCDB65B" w14:textId="77777777" w:rsidR="00A53009" w:rsidRPr="00CB3CD8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5DD99CB2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color w:val="000000"/>
          <w:szCs w:val="24"/>
          <w:lang w:val="es-CR"/>
        </w:rPr>
        <w:t>Deberán presentarse ante la Proveeduría Institucional en Planta baja del Edificio de Oficinas Centrales del INS, dentro del primer tercio del plazo concedido para valoración de muestras, contado a partir del día hábil siguiente a la presente invitación y serán atendidas en un plazo máximo de cinco (5) días hábiles.</w:t>
      </w:r>
    </w:p>
    <w:p w14:paraId="005D3820" w14:textId="77777777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133EE6D7" w14:textId="77777777" w:rsidR="00CD1E30" w:rsidRPr="00CB3CD8" w:rsidRDefault="00CD1E30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6F2A76F5" w14:textId="77777777" w:rsidR="00A53009" w:rsidRPr="00CB3CD8" w:rsidRDefault="00A53009" w:rsidP="00A5300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CB3CD8">
        <w:rPr>
          <w:rFonts w:ascii="Arial" w:hAnsi="Arial" w:cs="Arial"/>
          <w:b/>
          <w:szCs w:val="24"/>
        </w:rPr>
        <w:t>Concurso en trámite</w:t>
      </w:r>
    </w:p>
    <w:p w14:paraId="4B228DB2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07A2B8EA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color w:val="000000"/>
          <w:szCs w:val="24"/>
          <w:lang w:val="es-CR"/>
        </w:rPr>
        <w:t xml:space="preserve">Conforme lo establecido en el artículo 4 del Reglamento para compras por requerimiento, se advierte que los siguientes implementos se encuentran actualmente en trámite de proceso ordinario de compra, según el detalle registrado por </w:t>
      </w:r>
      <w:r w:rsidR="007E5234">
        <w:rPr>
          <w:rFonts w:ascii="Arial" w:eastAsia="Calibri" w:hAnsi="Arial" w:cs="Arial"/>
          <w:color w:val="000000"/>
          <w:szCs w:val="24"/>
          <w:lang w:val="es-CR"/>
        </w:rPr>
        <w:t>línea</w:t>
      </w:r>
      <w:r w:rsidRPr="00CB3CD8">
        <w:rPr>
          <w:rFonts w:ascii="Arial" w:eastAsia="Calibri" w:hAnsi="Arial" w:cs="Arial"/>
          <w:color w:val="000000"/>
          <w:szCs w:val="24"/>
          <w:lang w:val="es-CR"/>
        </w:rPr>
        <w:t>:</w:t>
      </w:r>
    </w:p>
    <w:p w14:paraId="089C94EB" w14:textId="77777777" w:rsidR="000D538A" w:rsidRDefault="000D538A" w:rsidP="003F3218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5BE84502" w14:textId="6344C34B" w:rsidR="002D7676" w:rsidRDefault="002D7676" w:rsidP="002D7676">
      <w:pPr>
        <w:jc w:val="both"/>
        <w:rPr>
          <w:rFonts w:ascii="Arial" w:hAnsi="Arial" w:cs="Arial"/>
          <w:szCs w:val="24"/>
        </w:rPr>
      </w:pPr>
      <w:r w:rsidRPr="00CE6424">
        <w:rPr>
          <w:rFonts w:ascii="Arial" w:hAnsi="Arial" w:cs="Arial"/>
          <w:b/>
          <w:bCs/>
          <w:szCs w:val="24"/>
        </w:rPr>
        <w:t>02.</w:t>
      </w:r>
      <w:r w:rsidRPr="00CE6424">
        <w:rPr>
          <w:rFonts w:ascii="Arial" w:hAnsi="Arial" w:cs="Arial"/>
          <w:szCs w:val="24"/>
        </w:rPr>
        <w:t xml:space="preserve">Tiocolchicósido 4 mg Tableta, </w:t>
      </w:r>
      <w:r w:rsidRPr="00CE6424">
        <w:rPr>
          <w:rFonts w:ascii="Arial" w:hAnsi="Arial" w:cs="Arial"/>
          <w:b/>
          <w:bCs/>
          <w:szCs w:val="24"/>
        </w:rPr>
        <w:t>10.</w:t>
      </w:r>
      <w:r w:rsidRPr="00CE6424">
        <w:rPr>
          <w:rFonts w:ascii="Arial" w:hAnsi="Arial" w:cs="Arial"/>
          <w:szCs w:val="24"/>
        </w:rPr>
        <w:t xml:space="preserve"> </w:t>
      </w:r>
      <w:proofErr w:type="spellStart"/>
      <w:r w:rsidRPr="00CE6424">
        <w:rPr>
          <w:rFonts w:ascii="Arial" w:hAnsi="Arial" w:cs="Arial"/>
          <w:szCs w:val="24"/>
        </w:rPr>
        <w:t>Irbesartan</w:t>
      </w:r>
      <w:proofErr w:type="spellEnd"/>
      <w:r w:rsidRPr="00CE6424">
        <w:rPr>
          <w:rFonts w:ascii="Arial" w:hAnsi="Arial" w:cs="Arial"/>
          <w:szCs w:val="24"/>
        </w:rPr>
        <w:t xml:space="preserve"> 150 mg Comprimidos recubiertos,</w:t>
      </w:r>
      <w:r w:rsidRPr="00CE6424">
        <w:rPr>
          <w:rFonts w:ascii="Arial" w:hAnsi="Arial" w:cs="Arial"/>
          <w:b/>
          <w:bCs/>
          <w:szCs w:val="24"/>
        </w:rPr>
        <w:t xml:space="preserve"> 15</w:t>
      </w:r>
      <w:r w:rsidRPr="00CE6424">
        <w:rPr>
          <w:rFonts w:ascii="Arial" w:hAnsi="Arial" w:cs="Arial"/>
          <w:szCs w:val="24"/>
        </w:rPr>
        <w:t xml:space="preserve">. Pregabalina 300 mg Cápsula, </w:t>
      </w:r>
      <w:r w:rsidRPr="00CE6424">
        <w:rPr>
          <w:rFonts w:ascii="Arial" w:hAnsi="Arial" w:cs="Arial"/>
          <w:b/>
          <w:bCs/>
          <w:szCs w:val="24"/>
        </w:rPr>
        <w:t>16.</w:t>
      </w:r>
      <w:r w:rsidRPr="00CE6424">
        <w:rPr>
          <w:rFonts w:ascii="Arial" w:hAnsi="Arial" w:cs="Arial"/>
          <w:szCs w:val="24"/>
        </w:rPr>
        <w:t xml:space="preserve"> </w:t>
      </w:r>
      <w:proofErr w:type="spellStart"/>
      <w:r w:rsidRPr="00CE6424">
        <w:rPr>
          <w:rFonts w:ascii="Arial" w:hAnsi="Arial" w:cs="Arial"/>
          <w:szCs w:val="24"/>
        </w:rPr>
        <w:t>Rivaroxaban</w:t>
      </w:r>
      <w:proofErr w:type="spellEnd"/>
      <w:r w:rsidRPr="00CE6424">
        <w:rPr>
          <w:rFonts w:ascii="Arial" w:hAnsi="Arial" w:cs="Arial"/>
          <w:szCs w:val="24"/>
        </w:rPr>
        <w:t xml:space="preserve"> 15 mg comprimidos recubiertos,</w:t>
      </w:r>
      <w:r w:rsidRPr="00CE6424">
        <w:rPr>
          <w:rFonts w:ascii="Arial" w:hAnsi="Arial" w:cs="Arial"/>
          <w:b/>
          <w:bCs/>
          <w:szCs w:val="24"/>
        </w:rPr>
        <w:t>17</w:t>
      </w:r>
      <w:r w:rsidRPr="00CE6424">
        <w:rPr>
          <w:rFonts w:ascii="Arial" w:hAnsi="Arial" w:cs="Arial"/>
          <w:szCs w:val="24"/>
        </w:rPr>
        <w:t xml:space="preserve">. Tolterodina 2 mg, comprimidos recubiertos, </w:t>
      </w:r>
      <w:r w:rsidRPr="00CE6424">
        <w:rPr>
          <w:rFonts w:ascii="Arial" w:hAnsi="Arial" w:cs="Arial"/>
          <w:b/>
          <w:bCs/>
          <w:szCs w:val="24"/>
        </w:rPr>
        <w:t>19</w:t>
      </w:r>
      <w:r w:rsidRPr="00CE6424">
        <w:rPr>
          <w:rFonts w:ascii="Arial" w:hAnsi="Arial" w:cs="Arial"/>
          <w:szCs w:val="24"/>
        </w:rPr>
        <w:t xml:space="preserve">. </w:t>
      </w:r>
      <w:proofErr w:type="spellStart"/>
      <w:r w:rsidRPr="00CE6424">
        <w:rPr>
          <w:rFonts w:ascii="Arial" w:hAnsi="Arial" w:cs="Arial"/>
          <w:szCs w:val="24"/>
        </w:rPr>
        <w:t>Duloxetina</w:t>
      </w:r>
      <w:proofErr w:type="spellEnd"/>
      <w:r w:rsidRPr="00CE6424">
        <w:rPr>
          <w:rFonts w:ascii="Arial" w:hAnsi="Arial" w:cs="Arial"/>
          <w:szCs w:val="24"/>
        </w:rPr>
        <w:t xml:space="preserve"> 30 mg Cápsulas    Administración Oral, </w:t>
      </w:r>
      <w:r w:rsidRPr="00CE6424">
        <w:rPr>
          <w:rFonts w:ascii="Arial" w:hAnsi="Arial" w:cs="Arial"/>
          <w:b/>
          <w:bCs/>
          <w:szCs w:val="24"/>
        </w:rPr>
        <w:t xml:space="preserve">20. </w:t>
      </w:r>
      <w:proofErr w:type="spellStart"/>
      <w:r w:rsidRPr="00CE6424">
        <w:rPr>
          <w:rFonts w:ascii="Arial" w:hAnsi="Arial" w:cs="Arial"/>
          <w:szCs w:val="24"/>
        </w:rPr>
        <w:t>Duloxetina</w:t>
      </w:r>
      <w:proofErr w:type="spellEnd"/>
      <w:r w:rsidRPr="00CE6424">
        <w:rPr>
          <w:rFonts w:ascii="Arial" w:hAnsi="Arial" w:cs="Arial"/>
          <w:szCs w:val="24"/>
        </w:rPr>
        <w:t xml:space="preserve"> 60 mg Cápsulas, Administración Oral, </w:t>
      </w:r>
      <w:r w:rsidRPr="00CE6424">
        <w:rPr>
          <w:rFonts w:ascii="Arial" w:hAnsi="Arial" w:cs="Arial"/>
          <w:b/>
          <w:bCs/>
          <w:szCs w:val="24"/>
        </w:rPr>
        <w:t>21</w:t>
      </w:r>
      <w:r w:rsidRPr="00CE6424">
        <w:rPr>
          <w:rFonts w:ascii="Arial" w:hAnsi="Arial" w:cs="Arial"/>
          <w:szCs w:val="24"/>
        </w:rPr>
        <w:t xml:space="preserve">. Enalapril 20 mg (como maleato) Tabletas vía de administración oral, </w:t>
      </w:r>
      <w:r w:rsidRPr="00CE6424">
        <w:rPr>
          <w:rFonts w:ascii="Arial" w:hAnsi="Arial" w:cs="Arial"/>
          <w:b/>
          <w:bCs/>
          <w:szCs w:val="24"/>
        </w:rPr>
        <w:t>22</w:t>
      </w:r>
      <w:r w:rsidRPr="00CE6424">
        <w:rPr>
          <w:rFonts w:ascii="Arial" w:hAnsi="Arial" w:cs="Arial"/>
          <w:szCs w:val="24"/>
        </w:rPr>
        <w:t xml:space="preserve">.Gabapentina 300 mg cápsulas  Administración oral, </w:t>
      </w:r>
      <w:r w:rsidRPr="00CE6424">
        <w:rPr>
          <w:rFonts w:ascii="Arial" w:hAnsi="Arial" w:cs="Arial"/>
          <w:b/>
          <w:bCs/>
          <w:szCs w:val="24"/>
        </w:rPr>
        <w:t>24</w:t>
      </w:r>
      <w:r w:rsidRPr="00CE6424">
        <w:rPr>
          <w:rFonts w:ascii="Arial" w:hAnsi="Arial" w:cs="Arial"/>
          <w:szCs w:val="24"/>
        </w:rPr>
        <w:t>.</w:t>
      </w:r>
      <w:r w:rsidRPr="00CE6424">
        <w:rPr>
          <w:rFonts w:ascii="Arial" w:hAnsi="Arial" w:cs="Arial"/>
          <w:szCs w:val="24"/>
        </w:rPr>
        <w:tab/>
      </w:r>
      <w:proofErr w:type="spellStart"/>
      <w:r w:rsidRPr="00CE6424">
        <w:rPr>
          <w:rFonts w:ascii="Arial" w:hAnsi="Arial" w:cs="Arial"/>
          <w:szCs w:val="24"/>
        </w:rPr>
        <w:t>Linezolid</w:t>
      </w:r>
      <w:proofErr w:type="spellEnd"/>
      <w:r w:rsidRPr="00CE6424">
        <w:rPr>
          <w:rFonts w:ascii="Arial" w:hAnsi="Arial" w:cs="Arial"/>
          <w:szCs w:val="24"/>
        </w:rPr>
        <w:t xml:space="preserve"> 600 mg, Tableta, presentación </w:t>
      </w:r>
      <w:proofErr w:type="spellStart"/>
      <w:r w:rsidRPr="00CE6424">
        <w:rPr>
          <w:rFonts w:ascii="Arial" w:hAnsi="Arial" w:cs="Arial"/>
          <w:szCs w:val="24"/>
        </w:rPr>
        <w:t>Blister</w:t>
      </w:r>
      <w:proofErr w:type="spellEnd"/>
      <w:r w:rsidRPr="00CE6424">
        <w:rPr>
          <w:rFonts w:ascii="Arial" w:hAnsi="Arial" w:cs="Arial"/>
          <w:szCs w:val="24"/>
        </w:rPr>
        <w:t xml:space="preserve"> 10 tabletas, </w:t>
      </w:r>
      <w:r w:rsidRPr="00CE6424">
        <w:rPr>
          <w:rFonts w:ascii="Arial" w:hAnsi="Arial" w:cs="Arial"/>
          <w:b/>
          <w:bCs/>
          <w:szCs w:val="24"/>
        </w:rPr>
        <w:t>29</w:t>
      </w:r>
      <w:r w:rsidRPr="00CE6424">
        <w:rPr>
          <w:rFonts w:ascii="Arial" w:hAnsi="Arial" w:cs="Arial"/>
          <w:b/>
          <w:bCs/>
          <w:szCs w:val="24"/>
        </w:rPr>
        <w:tab/>
      </w:r>
      <w:proofErr w:type="spellStart"/>
      <w:r w:rsidRPr="00CE6424">
        <w:rPr>
          <w:rFonts w:ascii="Arial" w:hAnsi="Arial" w:cs="Arial"/>
          <w:szCs w:val="24"/>
        </w:rPr>
        <w:t>Sildenafil</w:t>
      </w:r>
      <w:proofErr w:type="spellEnd"/>
      <w:r w:rsidRPr="00CE6424">
        <w:rPr>
          <w:rFonts w:ascii="Arial" w:hAnsi="Arial" w:cs="Arial"/>
          <w:szCs w:val="24"/>
        </w:rPr>
        <w:t xml:space="preserve"> 100 mg Tabletas, </w:t>
      </w:r>
      <w:r w:rsidRPr="00CE6424">
        <w:rPr>
          <w:rFonts w:ascii="Arial" w:hAnsi="Arial" w:cs="Arial"/>
          <w:b/>
          <w:bCs/>
          <w:szCs w:val="24"/>
        </w:rPr>
        <w:t>30.</w:t>
      </w:r>
      <w:r w:rsidRPr="00CE6424">
        <w:rPr>
          <w:rFonts w:ascii="Arial" w:hAnsi="Arial" w:cs="Arial"/>
          <w:szCs w:val="24"/>
        </w:rPr>
        <w:t xml:space="preserve">Enzimas Proteolíticas ungüento, Colagenasa 60 UI, Cloranfenicol 1,00 g, </w:t>
      </w:r>
      <w:r w:rsidRPr="00CE6424">
        <w:rPr>
          <w:rFonts w:ascii="Arial" w:hAnsi="Arial" w:cs="Arial"/>
          <w:b/>
          <w:bCs/>
          <w:szCs w:val="24"/>
        </w:rPr>
        <w:t>31.</w:t>
      </w:r>
      <w:r w:rsidRPr="00CE6424">
        <w:rPr>
          <w:rFonts w:ascii="Arial" w:hAnsi="Arial" w:cs="Arial"/>
          <w:szCs w:val="24"/>
        </w:rPr>
        <w:t xml:space="preserve"> Gentamicina 0,3% (3 mg/ml)  (como sulfato de gentamicina) Frasco Gotero de 5 ml, </w:t>
      </w:r>
      <w:r w:rsidRPr="00CE6424">
        <w:rPr>
          <w:rFonts w:ascii="Arial" w:hAnsi="Arial" w:cs="Arial"/>
          <w:b/>
          <w:bCs/>
          <w:szCs w:val="24"/>
        </w:rPr>
        <w:t>32.</w:t>
      </w:r>
      <w:r w:rsidRPr="00CE6424">
        <w:rPr>
          <w:rFonts w:ascii="Arial" w:hAnsi="Arial" w:cs="Arial"/>
          <w:szCs w:val="24"/>
        </w:rPr>
        <w:t xml:space="preserve">Tetracaína hidrocloruro 0,5% Solución oftálmica, </w:t>
      </w:r>
      <w:r w:rsidRPr="00CE6424">
        <w:rPr>
          <w:rFonts w:ascii="Arial" w:hAnsi="Arial" w:cs="Arial"/>
          <w:b/>
          <w:bCs/>
          <w:szCs w:val="24"/>
        </w:rPr>
        <w:t>34</w:t>
      </w:r>
      <w:r w:rsidRPr="00CE6424">
        <w:rPr>
          <w:rFonts w:ascii="Arial" w:hAnsi="Arial" w:cs="Arial"/>
          <w:szCs w:val="24"/>
        </w:rPr>
        <w:t xml:space="preserve">.Paracetamol 1000 mg (10 mg / 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) de 100 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 Solución para infusión intravenosa,</w:t>
      </w:r>
      <w:r w:rsidRPr="00CE6424">
        <w:rPr>
          <w:rFonts w:ascii="Arial" w:hAnsi="Arial" w:cs="Arial"/>
          <w:b/>
          <w:bCs/>
          <w:szCs w:val="24"/>
        </w:rPr>
        <w:t>35.</w:t>
      </w:r>
      <w:r w:rsidRPr="00CE6424">
        <w:rPr>
          <w:rFonts w:ascii="Arial" w:hAnsi="Arial" w:cs="Arial"/>
          <w:szCs w:val="24"/>
        </w:rPr>
        <w:t xml:space="preserve"> Atropina Sulfato 0,5 mg/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, Solución inyectable, ampolla 1 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, </w:t>
      </w:r>
      <w:r w:rsidRPr="00CE6424">
        <w:rPr>
          <w:rFonts w:ascii="Arial" w:hAnsi="Arial" w:cs="Arial"/>
          <w:b/>
          <w:bCs/>
          <w:szCs w:val="24"/>
        </w:rPr>
        <w:t>39</w:t>
      </w:r>
      <w:r w:rsidRPr="00CE6424">
        <w:rPr>
          <w:rFonts w:ascii="Arial" w:hAnsi="Arial" w:cs="Arial"/>
          <w:szCs w:val="24"/>
        </w:rPr>
        <w:t xml:space="preserve">.Ondasetrón 4 mg / 2ml  Solución inyectable o </w:t>
      </w:r>
      <w:proofErr w:type="spellStart"/>
      <w:r w:rsidRPr="00CE6424">
        <w:rPr>
          <w:rFonts w:ascii="Arial" w:hAnsi="Arial" w:cs="Arial"/>
          <w:szCs w:val="24"/>
        </w:rPr>
        <w:t>Granisetrón</w:t>
      </w:r>
      <w:proofErr w:type="spellEnd"/>
      <w:r w:rsidRPr="00CE6424">
        <w:rPr>
          <w:rFonts w:ascii="Arial" w:hAnsi="Arial" w:cs="Arial"/>
          <w:szCs w:val="24"/>
        </w:rPr>
        <w:t xml:space="preserve"> 3 mg / ml vía de administración intravenosa</w:t>
      </w:r>
      <w:r w:rsidRPr="00CE6424">
        <w:rPr>
          <w:rFonts w:ascii="Arial" w:hAnsi="Arial" w:cs="Arial"/>
          <w:b/>
          <w:bCs/>
          <w:szCs w:val="24"/>
        </w:rPr>
        <w:t>, 44.</w:t>
      </w:r>
      <w:r w:rsidRPr="00CE6424">
        <w:rPr>
          <w:rFonts w:ascii="Arial" w:hAnsi="Arial" w:cs="Arial"/>
          <w:szCs w:val="24"/>
        </w:rPr>
        <w:t xml:space="preserve">Carvedilol 6,25 mg comprimidos, </w:t>
      </w:r>
      <w:r w:rsidRPr="00CE6424">
        <w:rPr>
          <w:rFonts w:ascii="Arial" w:hAnsi="Arial" w:cs="Arial"/>
          <w:b/>
          <w:bCs/>
          <w:szCs w:val="24"/>
        </w:rPr>
        <w:t>47.</w:t>
      </w:r>
      <w:r w:rsidRPr="00CE6424">
        <w:rPr>
          <w:rFonts w:ascii="Arial" w:hAnsi="Arial" w:cs="Arial"/>
          <w:szCs w:val="24"/>
        </w:rPr>
        <w:t xml:space="preserve">Amoxicilina 500 mg (Como </w:t>
      </w:r>
      <w:proofErr w:type="spellStart"/>
      <w:r w:rsidRPr="00CE6424">
        <w:rPr>
          <w:rFonts w:ascii="Arial" w:hAnsi="Arial" w:cs="Arial"/>
          <w:szCs w:val="24"/>
        </w:rPr>
        <w:t>Trihidrato</w:t>
      </w:r>
      <w:proofErr w:type="spellEnd"/>
      <w:r w:rsidRPr="00CE6424">
        <w:rPr>
          <w:rFonts w:ascii="Arial" w:hAnsi="Arial" w:cs="Arial"/>
          <w:szCs w:val="24"/>
        </w:rPr>
        <w:t>)   Cápsulas o Tabletas,</w:t>
      </w:r>
      <w:r w:rsidRPr="00CE6424">
        <w:rPr>
          <w:rFonts w:ascii="Arial" w:hAnsi="Arial" w:cs="Arial"/>
          <w:b/>
          <w:bCs/>
          <w:szCs w:val="24"/>
        </w:rPr>
        <w:t xml:space="preserve">52. </w:t>
      </w:r>
      <w:r w:rsidRPr="00CE6424">
        <w:rPr>
          <w:rFonts w:ascii="Arial" w:hAnsi="Arial" w:cs="Arial"/>
          <w:szCs w:val="24"/>
        </w:rPr>
        <w:t>Magnesio sulfato 20% (200 mg/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), Solución inyectable 10 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", </w:t>
      </w:r>
      <w:r w:rsidRPr="00CE6424">
        <w:rPr>
          <w:rFonts w:ascii="Arial" w:hAnsi="Arial" w:cs="Arial"/>
          <w:b/>
          <w:bCs/>
          <w:szCs w:val="24"/>
        </w:rPr>
        <w:t xml:space="preserve">53. </w:t>
      </w:r>
      <w:r w:rsidRPr="00CE6424">
        <w:rPr>
          <w:rFonts w:ascii="Arial" w:hAnsi="Arial" w:cs="Arial"/>
          <w:szCs w:val="24"/>
        </w:rPr>
        <w:t xml:space="preserve">Olanzapina 5 mg Comprimidos, </w:t>
      </w:r>
      <w:r w:rsidRPr="00CE6424">
        <w:rPr>
          <w:rFonts w:ascii="Arial" w:hAnsi="Arial" w:cs="Arial"/>
          <w:b/>
          <w:bCs/>
          <w:szCs w:val="24"/>
        </w:rPr>
        <w:t>54</w:t>
      </w:r>
      <w:r w:rsidRPr="00CE6424">
        <w:rPr>
          <w:rFonts w:ascii="Arial" w:hAnsi="Arial" w:cs="Arial"/>
          <w:szCs w:val="24"/>
        </w:rPr>
        <w:t>.</w:t>
      </w:r>
      <w:r w:rsidRPr="00CE6424">
        <w:rPr>
          <w:rFonts w:ascii="Arial" w:hAnsi="Arial" w:cs="Arial"/>
          <w:szCs w:val="24"/>
        </w:rPr>
        <w:tab/>
        <w:t xml:space="preserve">Tramadol Hidrocloruro 100mg Cápsula o tableta Liberación prolongada, </w:t>
      </w:r>
      <w:r w:rsidRPr="00CE6424">
        <w:rPr>
          <w:rFonts w:ascii="Arial" w:hAnsi="Arial" w:cs="Arial"/>
          <w:b/>
          <w:bCs/>
          <w:szCs w:val="24"/>
        </w:rPr>
        <w:t>55.</w:t>
      </w:r>
      <w:r w:rsidRPr="00CE6424">
        <w:rPr>
          <w:rFonts w:ascii="Arial" w:hAnsi="Arial" w:cs="Arial"/>
          <w:szCs w:val="24"/>
        </w:rPr>
        <w:t xml:space="preserve"> </w:t>
      </w:r>
      <w:proofErr w:type="spellStart"/>
      <w:r w:rsidRPr="00CE6424">
        <w:rPr>
          <w:rFonts w:ascii="Arial" w:hAnsi="Arial" w:cs="Arial"/>
          <w:szCs w:val="24"/>
        </w:rPr>
        <w:t>Escitalopram</w:t>
      </w:r>
      <w:proofErr w:type="spellEnd"/>
      <w:r w:rsidRPr="00CE6424">
        <w:rPr>
          <w:rFonts w:ascii="Arial" w:hAnsi="Arial" w:cs="Arial"/>
          <w:szCs w:val="24"/>
        </w:rPr>
        <w:t xml:space="preserve"> 10 mg Presentación Cápsula o Tableta, </w:t>
      </w:r>
      <w:r w:rsidRPr="00CE6424">
        <w:rPr>
          <w:rFonts w:ascii="Arial" w:hAnsi="Arial" w:cs="Arial"/>
          <w:b/>
          <w:bCs/>
          <w:szCs w:val="24"/>
        </w:rPr>
        <w:t>58</w:t>
      </w:r>
      <w:r w:rsidRPr="00CE6424">
        <w:rPr>
          <w:rFonts w:ascii="Arial" w:hAnsi="Arial" w:cs="Arial"/>
          <w:szCs w:val="24"/>
        </w:rPr>
        <w:t>.</w:t>
      </w:r>
      <w:r w:rsidRPr="00CE6424">
        <w:rPr>
          <w:rFonts w:ascii="Arial" w:hAnsi="Arial" w:cs="Arial"/>
          <w:szCs w:val="24"/>
        </w:rPr>
        <w:tab/>
      </w:r>
      <w:proofErr w:type="spellStart"/>
      <w:r w:rsidRPr="00CE6424">
        <w:rPr>
          <w:rFonts w:ascii="Arial" w:hAnsi="Arial" w:cs="Arial"/>
          <w:szCs w:val="24"/>
        </w:rPr>
        <w:t>Levosulpiride</w:t>
      </w:r>
      <w:proofErr w:type="spellEnd"/>
      <w:r w:rsidRPr="00CE6424">
        <w:rPr>
          <w:rFonts w:ascii="Arial" w:hAnsi="Arial" w:cs="Arial"/>
          <w:szCs w:val="24"/>
        </w:rPr>
        <w:t xml:space="preserve"> 25mg/2 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 </w:t>
      </w:r>
      <w:proofErr w:type="spellStart"/>
      <w:r w:rsidRPr="00CE6424">
        <w:rPr>
          <w:rFonts w:ascii="Arial" w:hAnsi="Arial" w:cs="Arial"/>
          <w:szCs w:val="24"/>
        </w:rPr>
        <w:t>ó</w:t>
      </w:r>
      <w:proofErr w:type="spellEnd"/>
      <w:r w:rsidRPr="00CE6424">
        <w:rPr>
          <w:rFonts w:ascii="Arial" w:hAnsi="Arial" w:cs="Arial"/>
          <w:szCs w:val="24"/>
        </w:rPr>
        <w:t xml:space="preserve"> Metoclopramida clorhidrato 10 mg/2 </w:t>
      </w:r>
      <w:proofErr w:type="spellStart"/>
      <w:r w:rsidRPr="00CE6424">
        <w:rPr>
          <w:rFonts w:ascii="Arial" w:hAnsi="Arial" w:cs="Arial"/>
          <w:szCs w:val="24"/>
        </w:rPr>
        <w:t>mL</w:t>
      </w:r>
      <w:proofErr w:type="spellEnd"/>
      <w:r w:rsidRPr="00CE6424">
        <w:rPr>
          <w:rFonts w:ascii="Arial" w:hAnsi="Arial" w:cs="Arial"/>
          <w:szCs w:val="24"/>
        </w:rPr>
        <w:t xml:space="preserve">  Solución inyectable en ampolla de 2mL, </w:t>
      </w:r>
      <w:r w:rsidRPr="00CE6424">
        <w:rPr>
          <w:rFonts w:ascii="Arial" w:hAnsi="Arial" w:cs="Arial"/>
          <w:b/>
          <w:bCs/>
          <w:szCs w:val="24"/>
        </w:rPr>
        <w:t xml:space="preserve">59. </w:t>
      </w:r>
      <w:proofErr w:type="spellStart"/>
      <w:r w:rsidRPr="00CE6424">
        <w:rPr>
          <w:rFonts w:ascii="Arial" w:hAnsi="Arial" w:cs="Arial"/>
          <w:szCs w:val="24"/>
        </w:rPr>
        <w:t>Levosulpiride</w:t>
      </w:r>
      <w:proofErr w:type="spellEnd"/>
      <w:r w:rsidRPr="00CE6424">
        <w:rPr>
          <w:rFonts w:ascii="Arial" w:hAnsi="Arial" w:cs="Arial"/>
          <w:szCs w:val="24"/>
        </w:rPr>
        <w:t xml:space="preserve"> 25mg tableta, </w:t>
      </w:r>
      <w:r w:rsidRPr="00CE6424">
        <w:rPr>
          <w:rFonts w:ascii="Arial" w:hAnsi="Arial" w:cs="Arial"/>
          <w:b/>
          <w:bCs/>
          <w:szCs w:val="24"/>
        </w:rPr>
        <w:t xml:space="preserve">61. </w:t>
      </w:r>
      <w:proofErr w:type="spellStart"/>
      <w:r w:rsidRPr="00CE6424">
        <w:rPr>
          <w:rFonts w:ascii="Arial" w:hAnsi="Arial" w:cs="Arial"/>
          <w:szCs w:val="24"/>
        </w:rPr>
        <w:t>Moxifloxacina</w:t>
      </w:r>
      <w:proofErr w:type="spellEnd"/>
      <w:r w:rsidRPr="00CE6424">
        <w:rPr>
          <w:rFonts w:ascii="Arial" w:hAnsi="Arial" w:cs="Arial"/>
          <w:szCs w:val="24"/>
        </w:rPr>
        <w:t xml:space="preserve"> 0,5%Solución oftálmica, </w:t>
      </w:r>
      <w:r w:rsidRPr="006D6ED2">
        <w:rPr>
          <w:rFonts w:ascii="Arial" w:hAnsi="Arial" w:cs="Arial"/>
          <w:b/>
          <w:bCs/>
          <w:szCs w:val="24"/>
        </w:rPr>
        <w:t>62</w:t>
      </w:r>
      <w:r w:rsidRPr="00CE6424">
        <w:rPr>
          <w:rFonts w:ascii="Arial" w:hAnsi="Arial" w:cs="Arial"/>
          <w:szCs w:val="24"/>
        </w:rPr>
        <w:t>.Clonazepam 2,5 mg/</w:t>
      </w:r>
      <w:proofErr w:type="spellStart"/>
      <w:r w:rsidRPr="00CE6424">
        <w:rPr>
          <w:rFonts w:ascii="Arial" w:hAnsi="Arial" w:cs="Arial"/>
          <w:szCs w:val="24"/>
        </w:rPr>
        <w:t>mLSolución</w:t>
      </w:r>
      <w:proofErr w:type="spellEnd"/>
      <w:r w:rsidRPr="00CE6424">
        <w:rPr>
          <w:rFonts w:ascii="Arial" w:hAnsi="Arial" w:cs="Arial"/>
          <w:szCs w:val="24"/>
        </w:rPr>
        <w:t xml:space="preserve"> oral, </w:t>
      </w:r>
      <w:r w:rsidRPr="00CE6424">
        <w:rPr>
          <w:rFonts w:ascii="Arial" w:hAnsi="Arial" w:cs="Arial"/>
          <w:b/>
          <w:bCs/>
          <w:szCs w:val="24"/>
        </w:rPr>
        <w:t>63</w:t>
      </w:r>
      <w:r w:rsidRPr="00CE6424">
        <w:rPr>
          <w:rFonts w:ascii="Arial" w:hAnsi="Arial" w:cs="Arial"/>
          <w:szCs w:val="24"/>
        </w:rPr>
        <w:t xml:space="preserve">. Quetiapina 200 mg comprimidos recubiertos y </w:t>
      </w:r>
      <w:proofErr w:type="spellStart"/>
      <w:r w:rsidRPr="00CE6424">
        <w:rPr>
          <w:rFonts w:ascii="Arial" w:hAnsi="Arial" w:cs="Arial"/>
          <w:szCs w:val="24"/>
        </w:rPr>
        <w:t>birranurados</w:t>
      </w:r>
      <w:proofErr w:type="spellEnd"/>
      <w:r w:rsidRPr="00CE6424">
        <w:rPr>
          <w:rFonts w:ascii="Arial" w:hAnsi="Arial" w:cs="Arial"/>
          <w:szCs w:val="24"/>
        </w:rPr>
        <w:t>.</w:t>
      </w:r>
    </w:p>
    <w:p w14:paraId="6004ED42" w14:textId="380EF516" w:rsidR="00C03335" w:rsidRDefault="00C03335" w:rsidP="002D7676">
      <w:pPr>
        <w:jc w:val="both"/>
        <w:rPr>
          <w:rFonts w:ascii="Arial" w:hAnsi="Arial" w:cs="Arial"/>
          <w:szCs w:val="24"/>
        </w:rPr>
      </w:pPr>
    </w:p>
    <w:p w14:paraId="30DD2D5A" w14:textId="77777777" w:rsidR="00C03335" w:rsidRPr="00CE6424" w:rsidRDefault="00C03335" w:rsidP="002D7676">
      <w:pPr>
        <w:jc w:val="both"/>
        <w:rPr>
          <w:rFonts w:ascii="Arial" w:hAnsi="Arial" w:cs="Arial"/>
          <w:szCs w:val="24"/>
        </w:rPr>
      </w:pPr>
    </w:p>
    <w:p w14:paraId="5895858B" w14:textId="77777777" w:rsidR="008D5D0B" w:rsidRPr="00203547" w:rsidRDefault="008D5D0B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7B30FBA9" w14:textId="77777777" w:rsidR="00A53009" w:rsidRPr="006C13A6" w:rsidRDefault="00A53009" w:rsidP="00A53009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iCs/>
          <w:color w:val="000000"/>
          <w:szCs w:val="24"/>
          <w:lang w:val="es-CR"/>
        </w:rPr>
        <w:t>No se omite indicar que e</w:t>
      </w:r>
      <w:r w:rsidRPr="00CB3CD8">
        <w:rPr>
          <w:rFonts w:ascii="Arial" w:eastAsia="Calibri" w:hAnsi="Arial" w:cs="Arial"/>
          <w:bCs/>
          <w:iCs/>
          <w:color w:val="000000"/>
          <w:szCs w:val="24"/>
          <w:lang w:val="es-CR"/>
        </w:rPr>
        <w:t>n esta fase no se valorará precio del producto.</w:t>
      </w:r>
    </w:p>
    <w:p w14:paraId="21337E41" w14:textId="7CF98FD1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5B3BFC83" w14:textId="27532148" w:rsidR="00834589" w:rsidRDefault="0083458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3B308C04" w14:textId="77777777" w:rsidR="00834589" w:rsidRDefault="0083458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69C056FD" w14:textId="77777777" w:rsidR="00CC386E" w:rsidRDefault="00CC386E" w:rsidP="00A53009">
      <w:pPr>
        <w:contextualSpacing/>
        <w:rPr>
          <w:rFonts w:ascii="Arial" w:hAnsi="Arial" w:cs="Arial"/>
          <w:iCs/>
          <w:sz w:val="12"/>
          <w:szCs w:val="12"/>
        </w:rPr>
      </w:pPr>
    </w:p>
    <w:sectPr w:rsidR="00CC386E" w:rsidSect="006B396F">
      <w:headerReference w:type="default" r:id="rId7"/>
      <w:footerReference w:type="default" r:id="rId8"/>
      <w:pgSz w:w="12240" w:h="15840"/>
      <w:pgMar w:top="1684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180E0" w14:textId="77777777" w:rsidR="00801E06" w:rsidRDefault="00801E06" w:rsidP="006E307D">
      <w:r>
        <w:separator/>
      </w:r>
    </w:p>
  </w:endnote>
  <w:endnote w:type="continuationSeparator" w:id="0">
    <w:p w14:paraId="6E7DB54E" w14:textId="77777777" w:rsidR="00801E06" w:rsidRDefault="00801E06" w:rsidP="006E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6858" w14:textId="77777777" w:rsidR="008F53D1" w:rsidRDefault="006B396F">
    <w:pPr>
      <w:pStyle w:val="Piedepgina"/>
      <w:rPr>
        <w:rFonts w:ascii="Century Gothic" w:hAnsi="Century Gothic"/>
        <w:color w:val="171717" w:themeColor="background2" w:themeShade="1A"/>
        <w:sz w:val="20"/>
        <w:szCs w:val="20"/>
        <w:lang w:val="es-ES"/>
      </w:rPr>
    </w:pPr>
    <w:r>
      <w:rPr>
        <w:rFonts w:ascii="Century Gothic" w:hAnsi="Century Gothic"/>
        <w:noProof/>
        <w:sz w:val="20"/>
        <w:szCs w:val="20"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992522" wp14:editId="68323F00">
              <wp:simplePos x="0" y="0"/>
              <wp:positionH relativeFrom="column">
                <wp:posOffset>-74930</wp:posOffset>
              </wp:positionH>
              <wp:positionV relativeFrom="paragraph">
                <wp:posOffset>-33167</wp:posOffset>
              </wp:positionV>
              <wp:extent cx="5797899" cy="0"/>
              <wp:effectExtent l="0" t="0" r="635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7899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3C6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D86BB3" id="Conector recto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2.6pt" to="450.65pt,-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" strokecolor="#003c61" strokeweight="1pt">
              <v:stroke joinstyle="miter"/>
            </v:line>
          </w:pict>
        </mc:Fallback>
      </mc:AlternateContent>
    </w:r>
  </w:p>
  <w:p w14:paraId="4817EC08" w14:textId="77777777" w:rsidR="006B396F" w:rsidRDefault="006B396F" w:rsidP="006B396F">
    <w:pPr>
      <w:pStyle w:val="Piedepgina"/>
      <w:jc w:val="right"/>
      <w:rPr>
        <w:rFonts w:ascii="Century Gothic" w:hAnsi="Century Gothic"/>
        <w:color w:val="171717" w:themeColor="background2" w:themeShade="1A"/>
        <w:sz w:val="18"/>
        <w:szCs w:val="18"/>
        <w:lang w:val="es-ES"/>
      </w:rPr>
    </w:pPr>
    <w:r w:rsidRPr="009631CF">
      <w:rPr>
        <w:rFonts w:ascii="Century Gothic" w:hAnsi="Century Gothic"/>
        <w:color w:val="003C61"/>
        <w:sz w:val="18"/>
        <w:szCs w:val="18"/>
      </w:rPr>
      <w:t xml:space="preserve">Tel. 506 2287-6000 </w:t>
    </w:r>
    <w:r w:rsidR="0023159E" w:rsidRPr="009631CF">
      <w:rPr>
        <w:rFonts w:ascii="Century Gothic" w:hAnsi="Century Gothic"/>
        <w:color w:val="003C61"/>
        <w:sz w:val="18"/>
        <w:szCs w:val="18"/>
      </w:rPr>
      <w:t xml:space="preserve">• </w:t>
    </w:r>
    <w:proofErr w:type="spellStart"/>
    <w:r w:rsidRPr="009631CF">
      <w:rPr>
        <w:rFonts w:ascii="Century Gothic" w:hAnsi="Century Gothic"/>
        <w:color w:val="003C61"/>
        <w:sz w:val="18"/>
        <w:szCs w:val="18"/>
      </w:rPr>
      <w:t>Apdo</w:t>
    </w:r>
    <w:proofErr w:type="spellEnd"/>
    <w:r w:rsidR="009631CF" w:rsidRPr="009631CF">
      <w:rPr>
        <w:rFonts w:ascii="Century Gothic" w:hAnsi="Century Gothic"/>
        <w:color w:val="003C61"/>
        <w:sz w:val="18"/>
        <w:szCs w:val="18"/>
      </w:rPr>
      <w:t xml:space="preserve"> </w:t>
    </w:r>
    <w:r w:rsidRPr="009631CF">
      <w:rPr>
        <w:rFonts w:ascii="Century Gothic" w:hAnsi="Century Gothic"/>
        <w:color w:val="003C61"/>
        <w:sz w:val="18"/>
        <w:szCs w:val="18"/>
      </w:rPr>
      <w:t>Postal 10061-1000 San José, Costa Rica</w:t>
    </w:r>
    <w:r w:rsidRPr="009631CF">
      <w:rPr>
        <w:rFonts w:ascii="Century Gothic" w:hAnsi="Century Gothic"/>
        <w:color w:val="003C61"/>
        <w:sz w:val="18"/>
        <w:szCs w:val="18"/>
        <w:lang w:val="es-ES"/>
      </w:rPr>
      <w:t xml:space="preserve"> </w:t>
    </w:r>
    <w:r w:rsidR="0023159E" w:rsidRPr="009631CF">
      <w:rPr>
        <w:rFonts w:ascii="Century Gothic" w:hAnsi="Century Gothic"/>
        <w:color w:val="003C61"/>
        <w:sz w:val="18"/>
        <w:szCs w:val="18"/>
        <w:lang w:val="es-ES"/>
      </w:rPr>
      <w:t>• www.grupoins.com</w:t>
    </w:r>
    <w:r w:rsidR="009631CF" w:rsidRPr="009631CF">
      <w:rPr>
        <w:rFonts w:ascii="Century Gothic" w:hAnsi="Century Gothic"/>
        <w:color w:val="003C61"/>
        <w:sz w:val="18"/>
        <w:szCs w:val="18"/>
        <w:lang w:val="es-ES"/>
      </w:rPr>
      <w:t xml:space="preserve"> </w:t>
    </w:r>
    <w:r w:rsidR="009631CF">
      <w:rPr>
        <w:rFonts w:ascii="Century Gothic" w:hAnsi="Century Gothic"/>
        <w:noProof/>
        <w:color w:val="E7E6E6" w:themeColor="background2"/>
        <w:sz w:val="18"/>
        <w:szCs w:val="18"/>
        <w:lang w:val="es-ES"/>
      </w:rPr>
      <w:drawing>
        <wp:inline distT="0" distB="0" distL="0" distR="0" wp14:anchorId="6AA7BEEF" wp14:editId="4054D228">
          <wp:extent cx="558800" cy="127000"/>
          <wp:effectExtent l="0" t="0" r="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s rede azu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C6D6AE" w14:textId="77777777" w:rsidR="006B396F" w:rsidRDefault="006B396F" w:rsidP="006B396F">
    <w:pPr>
      <w:pStyle w:val="Piedepgina"/>
      <w:jc w:val="right"/>
      <w:rPr>
        <w:rFonts w:ascii="Arial" w:hAnsi="Arial" w:cs="Arial"/>
        <w:color w:val="002060"/>
        <w:sz w:val="16"/>
      </w:rPr>
    </w:pPr>
  </w:p>
  <w:p w14:paraId="5F26C101" w14:textId="77777777" w:rsidR="006B396F" w:rsidRPr="002C6062" w:rsidRDefault="006B396F" w:rsidP="006B396F">
    <w:pPr>
      <w:pStyle w:val="Piedepgina"/>
      <w:jc w:val="right"/>
      <w:rPr>
        <w:rFonts w:ascii="Arial" w:hAnsi="Arial" w:cs="Arial"/>
        <w:color w:val="002060"/>
        <w:sz w:val="16"/>
      </w:rPr>
    </w:pPr>
    <w:r w:rsidRPr="002C6062">
      <w:rPr>
        <w:rFonts w:ascii="Arial" w:hAnsi="Arial" w:cs="Arial"/>
        <w:color w:val="002060"/>
        <w:sz w:val="16"/>
      </w:rPr>
      <w:t xml:space="preserve">Página </w:t>
    </w:r>
    <w:r w:rsidRPr="002C6062">
      <w:rPr>
        <w:rFonts w:ascii="Arial" w:hAnsi="Arial" w:cs="Arial"/>
        <w:color w:val="002060"/>
        <w:sz w:val="16"/>
      </w:rPr>
      <w:fldChar w:fldCharType="begin"/>
    </w:r>
    <w:r w:rsidRPr="002C6062">
      <w:rPr>
        <w:rFonts w:ascii="Arial" w:hAnsi="Arial" w:cs="Arial"/>
        <w:color w:val="002060"/>
        <w:sz w:val="16"/>
      </w:rPr>
      <w:instrText xml:space="preserve"> PAGE </w:instrText>
    </w:r>
    <w:r w:rsidRPr="002C6062">
      <w:rPr>
        <w:rFonts w:ascii="Arial" w:hAnsi="Arial" w:cs="Arial"/>
        <w:color w:val="002060"/>
        <w:sz w:val="16"/>
      </w:rPr>
      <w:fldChar w:fldCharType="separate"/>
    </w:r>
    <w:r>
      <w:rPr>
        <w:rFonts w:ascii="Arial" w:hAnsi="Arial" w:cs="Arial"/>
        <w:color w:val="002060"/>
        <w:sz w:val="16"/>
      </w:rPr>
      <w:t>1</w:t>
    </w:r>
    <w:r w:rsidRPr="002C6062">
      <w:rPr>
        <w:rFonts w:ascii="Arial" w:hAnsi="Arial" w:cs="Arial"/>
        <w:color w:val="002060"/>
        <w:sz w:val="16"/>
      </w:rPr>
      <w:fldChar w:fldCharType="end"/>
    </w:r>
    <w:r w:rsidRPr="002C6062">
      <w:rPr>
        <w:rFonts w:ascii="Arial" w:hAnsi="Arial" w:cs="Arial"/>
        <w:color w:val="002060"/>
        <w:sz w:val="16"/>
      </w:rPr>
      <w:t xml:space="preserve"> de </w:t>
    </w:r>
    <w:r w:rsidRPr="002C6062">
      <w:rPr>
        <w:rFonts w:ascii="Arial" w:hAnsi="Arial" w:cs="Arial"/>
        <w:color w:val="002060"/>
        <w:sz w:val="16"/>
      </w:rPr>
      <w:fldChar w:fldCharType="begin"/>
    </w:r>
    <w:r w:rsidRPr="002C6062">
      <w:rPr>
        <w:rFonts w:ascii="Arial" w:hAnsi="Arial" w:cs="Arial"/>
        <w:color w:val="002060"/>
        <w:sz w:val="16"/>
      </w:rPr>
      <w:instrText xml:space="preserve"> NUMPAGES </w:instrText>
    </w:r>
    <w:r w:rsidRPr="002C6062">
      <w:rPr>
        <w:rFonts w:ascii="Arial" w:hAnsi="Arial" w:cs="Arial"/>
        <w:color w:val="002060"/>
        <w:sz w:val="16"/>
      </w:rPr>
      <w:fldChar w:fldCharType="separate"/>
    </w:r>
    <w:r>
      <w:rPr>
        <w:rFonts w:ascii="Arial" w:hAnsi="Arial" w:cs="Arial"/>
        <w:color w:val="002060"/>
        <w:sz w:val="16"/>
      </w:rPr>
      <w:t>2</w:t>
    </w:r>
    <w:r w:rsidRPr="002C6062">
      <w:rPr>
        <w:rFonts w:ascii="Arial" w:hAnsi="Arial" w:cs="Arial"/>
        <w:color w:val="002060"/>
        <w:sz w:val="16"/>
      </w:rPr>
      <w:fldChar w:fldCharType="end"/>
    </w:r>
  </w:p>
  <w:p w14:paraId="6CC71D80" w14:textId="77777777" w:rsidR="006E307D" w:rsidRPr="006B396F" w:rsidRDefault="006E307D" w:rsidP="006B396F">
    <w:pPr>
      <w:pStyle w:val="Piedepgina"/>
      <w:jc w:val="center"/>
      <w:rPr>
        <w:rFonts w:ascii="Century Gothic" w:hAnsi="Century Gothic"/>
        <w:color w:val="171717" w:themeColor="background2" w:themeShade="1A"/>
        <w:sz w:val="18"/>
        <w:szCs w:val="18"/>
      </w:rPr>
    </w:pPr>
  </w:p>
  <w:p w14:paraId="2DC3A50C" w14:textId="77777777" w:rsidR="006E307D" w:rsidRPr="006B396F" w:rsidRDefault="006E307D">
    <w:pPr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C6ADC" w14:textId="77777777" w:rsidR="00801E06" w:rsidRDefault="00801E06" w:rsidP="006E307D">
      <w:r>
        <w:separator/>
      </w:r>
    </w:p>
  </w:footnote>
  <w:footnote w:type="continuationSeparator" w:id="0">
    <w:p w14:paraId="471F53A7" w14:textId="77777777" w:rsidR="00801E06" w:rsidRDefault="00801E06" w:rsidP="006E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367F0" w14:textId="77777777" w:rsidR="006B396F" w:rsidRPr="006E307D" w:rsidRDefault="00891E42" w:rsidP="006B396F">
    <w:pPr>
      <w:pStyle w:val="Encabezado"/>
      <w:rPr>
        <w:rFonts w:ascii="Century Gothic" w:hAnsi="Century Gothic"/>
        <w:sz w:val="20"/>
        <w:szCs w:val="20"/>
        <w:lang w:val="es-ES"/>
      </w:rPr>
    </w:pPr>
    <w:r>
      <w:rPr>
        <w:rFonts w:ascii="Century Gothic" w:hAnsi="Century Gothic"/>
        <w:noProof/>
        <w:color w:val="E7E6E6" w:themeColor="background2"/>
        <w:sz w:val="18"/>
        <w:szCs w:val="18"/>
        <w:lang w:val="es-ES"/>
      </w:rPr>
      <w:drawing>
        <wp:anchor distT="0" distB="0" distL="114300" distR="114300" simplePos="0" relativeHeight="251664384" behindDoc="0" locked="0" layoutInCell="1" allowOverlap="1" wp14:anchorId="23334369" wp14:editId="00ADDA2E">
          <wp:simplePos x="0" y="0"/>
          <wp:positionH relativeFrom="column">
            <wp:posOffset>1447800</wp:posOffset>
          </wp:positionH>
          <wp:positionV relativeFrom="paragraph">
            <wp:posOffset>-260985</wp:posOffset>
          </wp:positionV>
          <wp:extent cx="2844800" cy="770587"/>
          <wp:effectExtent l="0" t="0" r="0" b="444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rupo INS Full Color-01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800" cy="7705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396F">
      <w:rPr>
        <w:rFonts w:ascii="Century Gothic" w:hAnsi="Century Gothic"/>
        <w:b/>
        <w:noProof/>
        <w:sz w:val="22"/>
        <w:szCs w:val="22"/>
        <w:lang w:val="es-E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897D1AE" wp14:editId="6353D82D">
              <wp:simplePos x="0" y="0"/>
              <wp:positionH relativeFrom="column">
                <wp:posOffset>-1073012</wp:posOffset>
              </wp:positionH>
              <wp:positionV relativeFrom="paragraph">
                <wp:posOffset>-433401</wp:posOffset>
              </wp:positionV>
              <wp:extent cx="7757327" cy="10038304"/>
              <wp:effectExtent l="127000" t="127000" r="129540" b="12192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7327" cy="10038304"/>
                      </a:xfrm>
                      <a:prstGeom prst="rect">
                        <a:avLst/>
                      </a:prstGeom>
                      <a:noFill/>
                      <a:ln w="257175">
                        <a:solidFill>
                          <a:srgbClr val="003C61">
                            <a:alpha val="40000"/>
                          </a:srgb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10F21A0" w14:textId="77777777" w:rsidR="006B396F" w:rsidRDefault="006B396F" w:rsidP="006B396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897D1AE" id="Rectángulo 5" o:spid="_x0000_s1026" style="position:absolute;margin-left:-84.5pt;margin-top:-34.15pt;width:610.8pt;height:790.4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" filled="f" strokecolor="#003c61" strokeweight="20.25pt">
              <v:stroke opacity="26214f"/>
              <v:textbox>
                <w:txbxContent>
                  <w:p w14:paraId="110F21A0" w14:textId="77777777" w:rsidR="006B396F" w:rsidRDefault="006B396F" w:rsidP="006B396F"/>
                </w:txbxContent>
              </v:textbox>
            </v:rect>
          </w:pict>
        </mc:Fallback>
      </mc:AlternateContent>
    </w:r>
  </w:p>
  <w:p w14:paraId="37E769F5" w14:textId="77777777" w:rsidR="006E307D" w:rsidRPr="006E307D" w:rsidRDefault="006E307D">
    <w:pPr>
      <w:pStyle w:val="Encabezado"/>
      <w:rPr>
        <w:rFonts w:ascii="Century Gothic" w:hAnsi="Century Gothic"/>
        <w:sz w:val="20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78EF6B2"/>
    <w:lvl w:ilvl="0">
      <w:numFmt w:val="bullet"/>
      <w:lvlText w:val="*"/>
      <w:lvlJc w:val="left"/>
    </w:lvl>
  </w:abstractNum>
  <w:abstractNum w:abstractNumId="1" w15:restartNumberingAfterBreak="0">
    <w:nsid w:val="55B711BD"/>
    <w:multiLevelType w:val="hybridMultilevel"/>
    <w:tmpl w:val="8CBEC492"/>
    <w:lvl w:ilvl="0" w:tplc="C6589CC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61B52"/>
    <w:multiLevelType w:val="hybridMultilevel"/>
    <w:tmpl w:val="0D5E291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72600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 w16cid:durableId="1154882084">
    <w:abstractNumId w:val="2"/>
  </w:num>
  <w:num w:numId="3" w16cid:durableId="246160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07D"/>
    <w:rsid w:val="00016AF7"/>
    <w:rsid w:val="0002256C"/>
    <w:rsid w:val="00037450"/>
    <w:rsid w:val="0008452D"/>
    <w:rsid w:val="00091C6D"/>
    <w:rsid w:val="000B22FB"/>
    <w:rsid w:val="000D538A"/>
    <w:rsid w:val="000E6DA6"/>
    <w:rsid w:val="00114D8B"/>
    <w:rsid w:val="001E0F9B"/>
    <w:rsid w:val="001F045F"/>
    <w:rsid w:val="00222532"/>
    <w:rsid w:val="0023159E"/>
    <w:rsid w:val="0028479A"/>
    <w:rsid w:val="002D55D0"/>
    <w:rsid w:val="002D7676"/>
    <w:rsid w:val="002F62C5"/>
    <w:rsid w:val="003A7C22"/>
    <w:rsid w:val="003F3218"/>
    <w:rsid w:val="004675A3"/>
    <w:rsid w:val="0049552F"/>
    <w:rsid w:val="004B167D"/>
    <w:rsid w:val="004D7965"/>
    <w:rsid w:val="00561FC0"/>
    <w:rsid w:val="0056401E"/>
    <w:rsid w:val="005C12CA"/>
    <w:rsid w:val="005E2D5F"/>
    <w:rsid w:val="006139BB"/>
    <w:rsid w:val="006355F6"/>
    <w:rsid w:val="0064477C"/>
    <w:rsid w:val="00681067"/>
    <w:rsid w:val="006B396F"/>
    <w:rsid w:val="006E307D"/>
    <w:rsid w:val="006F22CB"/>
    <w:rsid w:val="007134C6"/>
    <w:rsid w:val="007262FA"/>
    <w:rsid w:val="00780EE8"/>
    <w:rsid w:val="00781A21"/>
    <w:rsid w:val="007A1560"/>
    <w:rsid w:val="007C3D0C"/>
    <w:rsid w:val="007E5234"/>
    <w:rsid w:val="00801E06"/>
    <w:rsid w:val="00834589"/>
    <w:rsid w:val="008846AB"/>
    <w:rsid w:val="00891E42"/>
    <w:rsid w:val="008B4473"/>
    <w:rsid w:val="008D5D0B"/>
    <w:rsid w:val="008D6087"/>
    <w:rsid w:val="008F53D1"/>
    <w:rsid w:val="009238A9"/>
    <w:rsid w:val="00924936"/>
    <w:rsid w:val="00924992"/>
    <w:rsid w:val="009329BA"/>
    <w:rsid w:val="009413D5"/>
    <w:rsid w:val="009631CF"/>
    <w:rsid w:val="00972ABD"/>
    <w:rsid w:val="00990521"/>
    <w:rsid w:val="00992A4E"/>
    <w:rsid w:val="00997F25"/>
    <w:rsid w:val="00A05E89"/>
    <w:rsid w:val="00A24366"/>
    <w:rsid w:val="00A40633"/>
    <w:rsid w:val="00A46F4B"/>
    <w:rsid w:val="00A53009"/>
    <w:rsid w:val="00AF669D"/>
    <w:rsid w:val="00C016B9"/>
    <w:rsid w:val="00C03335"/>
    <w:rsid w:val="00C71D6A"/>
    <w:rsid w:val="00CB4519"/>
    <w:rsid w:val="00CC386E"/>
    <w:rsid w:val="00CD1E30"/>
    <w:rsid w:val="00D07DF7"/>
    <w:rsid w:val="00D76FC1"/>
    <w:rsid w:val="00DA312C"/>
    <w:rsid w:val="00DD4F9A"/>
    <w:rsid w:val="00DE1C6C"/>
    <w:rsid w:val="00E40A17"/>
    <w:rsid w:val="00E44611"/>
    <w:rsid w:val="00EE6ABD"/>
    <w:rsid w:val="00EF1D9F"/>
    <w:rsid w:val="00FA1028"/>
    <w:rsid w:val="00FE1B88"/>
    <w:rsid w:val="00F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B2D91"/>
  <w14:defaultImageDpi w14:val="32767"/>
  <w15:chartTrackingRefBased/>
  <w15:docId w15:val="{72F12E48-EE5D-254D-8523-9182BB88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B396F"/>
    <w:rPr>
      <w:rFonts w:ascii="Bookman Old Style" w:eastAsia="Times New Roman" w:hAnsi="Bookman Old Style" w:cs="Times New Roman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307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E307D"/>
  </w:style>
  <w:style w:type="paragraph" w:styleId="Piedepgina">
    <w:name w:val="footer"/>
    <w:basedOn w:val="Normal"/>
    <w:link w:val="PiedepginaCar"/>
    <w:unhideWhenUsed/>
    <w:rsid w:val="006E307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rsid w:val="006E307D"/>
  </w:style>
  <w:style w:type="character" w:styleId="Hipervnculo">
    <w:name w:val="Hyperlink"/>
    <w:basedOn w:val="Fuentedeprrafopredeter"/>
    <w:uiPriority w:val="99"/>
    <w:unhideWhenUsed/>
    <w:rsid w:val="006B396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B396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159E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72"/>
    <w:qFormat/>
    <w:rsid w:val="00A5300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E6D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6DA6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6DA6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6D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6DA6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6D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6DA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654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Yamileth Herrera Calvo</cp:lastModifiedBy>
  <cp:revision>3</cp:revision>
  <cp:lastPrinted>2022-04-07T15:23:00Z</cp:lastPrinted>
  <dcterms:created xsi:type="dcterms:W3CDTF">2022-09-01T16:52:00Z</dcterms:created>
  <dcterms:modified xsi:type="dcterms:W3CDTF">2022-09-01T17:00:00Z</dcterms:modified>
</cp:coreProperties>
</file>